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9D74A" w14:textId="77777777" w:rsidR="00B41D9D" w:rsidRDefault="00B41D9D" w:rsidP="0055743A">
      <w:pPr>
        <w:outlineLvl w:val="0"/>
        <w:rPr>
          <w:rFonts w:ascii="Arial" w:hAnsi="Arial"/>
        </w:rPr>
      </w:pPr>
    </w:p>
    <w:p w14:paraId="51FF9A86" w14:textId="4960E68F" w:rsidR="0055743A" w:rsidRDefault="0055743A" w:rsidP="0055743A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From: </w:t>
      </w:r>
      <w:r>
        <w:rPr>
          <w:rFonts w:ascii="Arial" w:hAnsi="Arial"/>
        </w:rPr>
        <w:tab/>
      </w:r>
      <w:r>
        <w:rPr>
          <w:rFonts w:ascii="Arial" w:hAnsi="Arial"/>
        </w:rPr>
        <w:tab/>
        <w:t>Ron Kirschner, MD, Medical Director</w:t>
      </w:r>
    </w:p>
    <w:p w14:paraId="55D7E863" w14:textId="77777777" w:rsidR="0055743A" w:rsidRDefault="0055743A" w:rsidP="0055743A">
      <w:pPr>
        <w:rPr>
          <w:rFonts w:ascii="Arial" w:hAnsi="Arial"/>
        </w:rPr>
      </w:pPr>
      <w:r>
        <w:rPr>
          <w:rFonts w:ascii="Arial" w:hAnsi="Arial"/>
        </w:rPr>
        <w:t xml:space="preserve">To: </w:t>
      </w:r>
      <w:r>
        <w:rPr>
          <w:rFonts w:ascii="Arial" w:hAnsi="Arial"/>
        </w:rPr>
        <w:tab/>
      </w:r>
      <w:r>
        <w:rPr>
          <w:rFonts w:ascii="Arial" w:hAnsi="Arial"/>
        </w:rPr>
        <w:tab/>
        <w:t>ALL HEALTH CARE PROFESSIONALS</w:t>
      </w:r>
    </w:p>
    <w:p w14:paraId="56FAF268" w14:textId="4647C2FB" w:rsidR="0055743A" w:rsidRDefault="0055743A" w:rsidP="0055743A">
      <w:pPr>
        <w:rPr>
          <w:rFonts w:ascii="Arial" w:hAnsi="Arial" w:cs="Arial"/>
          <w:color w:val="000000"/>
        </w:rPr>
      </w:pPr>
      <w:r>
        <w:rPr>
          <w:rFonts w:ascii="Arial" w:hAnsi="Arial"/>
        </w:rPr>
        <w:t>Subject:</w:t>
      </w:r>
      <w:r>
        <w:rPr>
          <w:rFonts w:ascii="Arial" w:hAnsi="Arial"/>
        </w:rPr>
        <w:tab/>
      </w:r>
      <w:r w:rsidR="00F64DCF">
        <w:rPr>
          <w:rFonts w:ascii="Arial" w:hAnsi="Arial"/>
        </w:rPr>
        <w:t>Novel synthetic opioids</w:t>
      </w:r>
    </w:p>
    <w:p w14:paraId="4F948A25" w14:textId="38EC5B8F" w:rsidR="0055743A" w:rsidRDefault="0055743A" w:rsidP="00023FE3">
      <w:pPr>
        <w:pBdr>
          <w:bottom w:val="single" w:sz="6" w:space="1" w:color="auto"/>
        </w:pBdr>
        <w:rPr>
          <w:rFonts w:ascii="Arial" w:hAnsi="Arial"/>
        </w:rPr>
      </w:pPr>
      <w:r>
        <w:rPr>
          <w:rFonts w:ascii="Arial" w:hAnsi="Arial"/>
        </w:rPr>
        <w:t>Date: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F64DCF">
        <w:rPr>
          <w:rFonts w:ascii="Arial" w:hAnsi="Arial"/>
        </w:rPr>
        <w:t>5/15</w:t>
      </w:r>
      <w:r w:rsidR="00B5739D">
        <w:rPr>
          <w:rFonts w:ascii="Arial" w:hAnsi="Arial"/>
        </w:rPr>
        <w:t>/26</w:t>
      </w:r>
    </w:p>
    <w:p w14:paraId="70ABD36B" w14:textId="77777777" w:rsidR="00B41D9D" w:rsidRDefault="00B41D9D" w:rsidP="00B41D9D">
      <w:pPr>
        <w:ind w:left="360"/>
      </w:pPr>
    </w:p>
    <w:p w14:paraId="43A7E857" w14:textId="391B8AE2" w:rsidR="00F64DCF" w:rsidRDefault="00F64DCF" w:rsidP="00F64DCF">
      <w:pPr>
        <w:pStyle w:val="ListParagraph"/>
        <w:numPr>
          <w:ilvl w:val="0"/>
          <w:numId w:val="1"/>
        </w:numPr>
      </w:pPr>
      <w:r>
        <w:t xml:space="preserve">Nitazenes are a class of </w:t>
      </w:r>
      <w:r w:rsidR="0050296A">
        <w:t xml:space="preserve">potent </w:t>
      </w:r>
      <w:r>
        <w:t>synthetic opioids developed in the 1950s but never used clinically due to an unfavorable therapeutic index.</w:t>
      </w:r>
    </w:p>
    <w:p w14:paraId="48A73D2E" w14:textId="7C41CFC2" w:rsidR="009A504E" w:rsidRDefault="009A504E" w:rsidP="00F64DCF">
      <w:pPr>
        <w:pStyle w:val="ListParagraph"/>
        <w:numPr>
          <w:ilvl w:val="0"/>
          <w:numId w:val="1"/>
        </w:numPr>
      </w:pPr>
      <w:r>
        <w:t xml:space="preserve">Although these substances can be identified by </w:t>
      </w:r>
      <w:r w:rsidR="00A910E5">
        <w:t xml:space="preserve">specialized facilities such as </w:t>
      </w:r>
      <w:r>
        <w:t xml:space="preserve">NMS </w:t>
      </w:r>
      <w:r w:rsidR="000D230A">
        <w:t>L</w:t>
      </w:r>
      <w:r>
        <w:t>abs</w:t>
      </w:r>
      <w:r w:rsidR="005D378F">
        <w:t xml:space="preserve"> (Horsham, PA)</w:t>
      </w:r>
      <w:r w:rsidR="00770937">
        <w:t xml:space="preserve">, levels may be </w:t>
      </w:r>
      <w:r w:rsidR="005D378F">
        <w:t>difficult</w:t>
      </w:r>
      <w:r w:rsidR="00770937">
        <w:t xml:space="preserve"> to interpret.</w:t>
      </w:r>
    </w:p>
    <w:p w14:paraId="3B54D4CE" w14:textId="4E266753" w:rsidR="00F64DCF" w:rsidRDefault="00F64DCF" w:rsidP="00C814EF">
      <w:pPr>
        <w:pStyle w:val="ListParagraph"/>
        <w:numPr>
          <w:ilvl w:val="0"/>
          <w:numId w:val="1"/>
        </w:numPr>
      </w:pPr>
      <w:r>
        <w:t>They are structurally different from fentanyl but interact with the mu opioid receptor.</w:t>
      </w:r>
    </w:p>
    <w:p w14:paraId="55DADB9D" w14:textId="77777777" w:rsidR="005D378F" w:rsidRDefault="005D378F" w:rsidP="005D378F">
      <w:pPr>
        <w:pStyle w:val="ListParagraph"/>
        <w:numPr>
          <w:ilvl w:val="0"/>
          <w:numId w:val="1"/>
        </w:numPr>
      </w:pPr>
      <w:r>
        <w:t xml:space="preserve">Like other opioids, they appear to be reversed by naloxone but may require larger doses or repeat dosing as duration of action is not well defined for nitazenes.  </w:t>
      </w:r>
    </w:p>
    <w:p w14:paraId="422B344D" w14:textId="4B2E4338" w:rsidR="00F64DCF" w:rsidRDefault="00F64DCF" w:rsidP="00C814EF">
      <w:pPr>
        <w:pStyle w:val="ListParagraph"/>
        <w:numPr>
          <w:ilvl w:val="0"/>
          <w:numId w:val="1"/>
        </w:numPr>
      </w:pPr>
      <w:r>
        <w:t>There are no controlled studie</w:t>
      </w:r>
      <w:r w:rsidR="003C59EC">
        <w:t>s</w:t>
      </w:r>
      <w:r>
        <w:t xml:space="preserve"> in humans, only case reports</w:t>
      </w:r>
      <w:r w:rsidR="003C59EC">
        <w:t xml:space="preserve"> and case</w:t>
      </w:r>
      <w:r>
        <w:t xml:space="preserve"> series</w:t>
      </w:r>
      <w:r w:rsidR="005D378F">
        <w:t xml:space="preserve"> that</w:t>
      </w:r>
      <w:r w:rsidR="003C59EC">
        <w:t xml:space="preserve"> can be </w:t>
      </w:r>
      <w:r w:rsidR="005D378F">
        <w:t>challenging</w:t>
      </w:r>
      <w:r w:rsidR="003C59EC">
        <w:t xml:space="preserve"> to interpret </w:t>
      </w:r>
      <w:r w:rsidR="00812657">
        <w:t>as</w:t>
      </w:r>
      <w:r w:rsidR="003C59EC">
        <w:t xml:space="preserve"> they often involve multiple substances including other opioids. </w:t>
      </w:r>
    </w:p>
    <w:p w14:paraId="3577A659" w14:textId="74E645BD" w:rsidR="003C59EC" w:rsidRDefault="003C59EC" w:rsidP="00C814EF">
      <w:pPr>
        <w:pStyle w:val="ListParagraph"/>
        <w:numPr>
          <w:ilvl w:val="0"/>
          <w:numId w:val="1"/>
        </w:numPr>
      </w:pPr>
      <w:r>
        <w:t xml:space="preserve">In some </w:t>
      </w:r>
      <w:r w:rsidR="00906204">
        <w:t>cases,</w:t>
      </w:r>
      <w:r>
        <w:t xml:space="preserve"> patients reported exposure </w:t>
      </w:r>
      <w:r w:rsidR="00906204">
        <w:t>to heroin and/or fentanyl (Amaducci).</w:t>
      </w:r>
    </w:p>
    <w:p w14:paraId="34D545DF" w14:textId="76A3D2C3" w:rsidR="00906204" w:rsidRDefault="00906204" w:rsidP="00C814EF">
      <w:pPr>
        <w:pStyle w:val="ListParagraph"/>
        <w:numPr>
          <w:ilvl w:val="0"/>
          <w:numId w:val="1"/>
        </w:numPr>
      </w:pPr>
      <w:r>
        <w:t xml:space="preserve">In an Australian </w:t>
      </w:r>
      <w:r w:rsidR="009F4C2B">
        <w:t>case a young man was found unconscious after vaping THC;</w:t>
      </w:r>
      <w:r w:rsidR="00A03506">
        <w:t xml:space="preserve">  initial</w:t>
      </w:r>
      <w:r w:rsidR="009F4C2B">
        <w:t xml:space="preserve"> hospital blood documented </w:t>
      </w:r>
      <w:r w:rsidR="00812657">
        <w:t xml:space="preserve">the </w:t>
      </w:r>
      <w:r w:rsidR="009F4C2B">
        <w:t xml:space="preserve">presence of protonitazene (Syrjanen). </w:t>
      </w:r>
    </w:p>
    <w:p w14:paraId="43AED27B" w14:textId="77777777" w:rsidR="00B41D9D" w:rsidRDefault="009F4C2B" w:rsidP="00C814EF">
      <w:pPr>
        <w:pStyle w:val="ListParagraph"/>
        <w:numPr>
          <w:ilvl w:val="0"/>
          <w:numId w:val="1"/>
        </w:numPr>
      </w:pPr>
      <w:r>
        <w:t>In patients with unexpected CNS/respiratory depression always consider naloxone administration or a</w:t>
      </w:r>
      <w:r w:rsidR="00812657">
        <w:t>irw</w:t>
      </w:r>
      <w:r>
        <w:t xml:space="preserve">ay management. </w:t>
      </w:r>
    </w:p>
    <w:p w14:paraId="05C8E30D" w14:textId="242BA311" w:rsidR="00906204" w:rsidRDefault="00B41D9D" w:rsidP="00C814EF">
      <w:pPr>
        <w:pStyle w:val="ListParagraph"/>
        <w:numPr>
          <w:ilvl w:val="0"/>
          <w:numId w:val="1"/>
        </w:numPr>
      </w:pPr>
      <w:r>
        <w:t>Consider</w:t>
      </w:r>
      <w:r w:rsidR="009F4C2B">
        <w:t xml:space="preserve"> saving body fluid samples for </w:t>
      </w:r>
      <w:r w:rsidR="00812657">
        <w:t xml:space="preserve">reference lab </w:t>
      </w:r>
      <w:r w:rsidR="009F4C2B">
        <w:t>analysis</w:t>
      </w:r>
      <w:r w:rsidR="00812657">
        <w:t>, and please contact the Poison Center</w:t>
      </w:r>
      <w:r>
        <w:t xml:space="preserve"> for further consultation.</w:t>
      </w:r>
    </w:p>
    <w:p w14:paraId="2222895F" w14:textId="77777777" w:rsidR="00B41D9D" w:rsidRDefault="00B41D9D" w:rsidP="00B41D9D"/>
    <w:p w14:paraId="5CD816B8" w14:textId="5F4EB002" w:rsidR="009E6B8E" w:rsidRDefault="00B41D9D" w:rsidP="009E6B8E">
      <w:r>
        <w:rPr>
          <w:u w:val="single"/>
        </w:rPr>
        <w:t>Re</w:t>
      </w:r>
      <w:r w:rsidR="009E6B8E" w:rsidRPr="009E6B8E">
        <w:rPr>
          <w:u w:val="single"/>
        </w:rPr>
        <w:t>ferences</w:t>
      </w:r>
      <w:r w:rsidR="009E6B8E">
        <w:t xml:space="preserve">                                                                                                                                                                                          Amaducci A. Naloxone use in novel potent opioid and fentanyl overdoses in emergency department patients</w:t>
      </w:r>
      <w:r w:rsidR="00770937">
        <w:t>.</w:t>
      </w:r>
      <w:r w:rsidR="009E6B8E">
        <w:t xml:space="preserve"> </w:t>
      </w:r>
      <w:r w:rsidR="009E6B8E" w:rsidRPr="00812657">
        <w:rPr>
          <w:i/>
          <w:iCs/>
        </w:rPr>
        <w:t>JAMA Network Open</w:t>
      </w:r>
      <w:r w:rsidR="009E6B8E">
        <w:t xml:space="preserve"> 2023; 6(8):2331262.</w:t>
      </w:r>
    </w:p>
    <w:p w14:paraId="492A8A2E" w14:textId="19A282DD" w:rsidR="00770937" w:rsidRDefault="00770937" w:rsidP="009E6B8E">
      <w:r>
        <w:t xml:space="preserve">Sprague JE. Non-fatal opioid overdose associated predominantly with the benzimidazolone, cychlorphine. </w:t>
      </w:r>
      <w:r w:rsidR="00B7512F" w:rsidRPr="005D378F">
        <w:rPr>
          <w:i/>
          <w:iCs/>
        </w:rPr>
        <w:t>Clin Toxicol</w:t>
      </w:r>
      <w:r w:rsidR="00B7512F">
        <w:t xml:space="preserve"> 2026</w:t>
      </w:r>
      <w:r w:rsidR="005D378F">
        <w:t>; 64 (2):146-147.</w:t>
      </w:r>
    </w:p>
    <w:p w14:paraId="2186A1D5" w14:textId="133DC6FC" w:rsidR="00863BF2" w:rsidRDefault="009446FE" w:rsidP="009E6B8E">
      <w:r>
        <w:t>Stangeland</w:t>
      </w:r>
      <w:r w:rsidR="00863BF2">
        <w:t xml:space="preserve"> M. Nitazenes: review of comparative pharmacology and antagonist action. </w:t>
      </w:r>
      <w:r w:rsidR="00863BF2" w:rsidRPr="00863BF2">
        <w:rPr>
          <w:i/>
          <w:iCs/>
        </w:rPr>
        <w:t>Clin Toxicol</w:t>
      </w:r>
      <w:r w:rsidR="00863BF2">
        <w:t xml:space="preserve"> 2025; 83(6):393-406.</w:t>
      </w:r>
    </w:p>
    <w:p w14:paraId="74E79970" w14:textId="7449D2A9" w:rsidR="009E6B8E" w:rsidRDefault="009E6B8E" w:rsidP="009E6B8E">
      <w:r>
        <w:t>Syrjanen R. Protonitazen</w:t>
      </w:r>
      <w:r w:rsidR="005D378F">
        <w:t>e</w:t>
      </w:r>
      <w:r>
        <w:t xml:space="preserve"> detection in two cases of opioid toxicity following the use of tetrahydrocannabinol vape products in Australia. </w:t>
      </w:r>
      <w:r w:rsidR="00770937" w:rsidRPr="00770937">
        <w:rPr>
          <w:i/>
          <w:iCs/>
        </w:rPr>
        <w:t>Clin Toxicol</w:t>
      </w:r>
      <w:r w:rsidR="00770937">
        <w:t xml:space="preserve"> 2024; 62 (8):539-541</w:t>
      </w:r>
      <w:r w:rsidR="00A03506">
        <w:t>.</w:t>
      </w:r>
    </w:p>
    <w:p w14:paraId="70AC44DD" w14:textId="10CBC180" w:rsidR="0089037B" w:rsidRPr="00ED7F01" w:rsidRDefault="001816F5" w:rsidP="0000794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CAF7A1" wp14:editId="7E8315AD">
                <wp:simplePos x="0" y="0"/>
                <wp:positionH relativeFrom="margin">
                  <wp:posOffset>-542925</wp:posOffset>
                </wp:positionH>
                <wp:positionV relativeFrom="paragraph">
                  <wp:posOffset>316230</wp:posOffset>
                </wp:positionV>
                <wp:extent cx="7016750" cy="4572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33277" w14:textId="26B21823" w:rsidR="00B41D9D" w:rsidRDefault="001816F5" w:rsidP="001816F5">
                            <w:pPr>
                              <w:jc w:val="center"/>
                            </w:pPr>
                            <w:r>
                              <w:t xml:space="preserve">There are Registered Nurses and Pharmacist available 24/7/365. </w:t>
                            </w:r>
                            <w:r w:rsidR="00B41D9D">
                              <w:t>Toxicology consultation available</w:t>
                            </w:r>
                          </w:p>
                          <w:p w14:paraId="74F1D3B3" w14:textId="0F14E35D" w:rsidR="00B41D9D" w:rsidRDefault="00B41D9D" w:rsidP="001816F5">
                            <w:pPr>
                              <w:jc w:val="center"/>
                            </w:pPr>
                            <w:r>
                              <w:t xml:space="preserve">                                                    </w:t>
                            </w:r>
                          </w:p>
                          <w:p w14:paraId="070D9A42" w14:textId="7C5377FA" w:rsidR="001816F5" w:rsidRDefault="00B41D9D" w:rsidP="001816F5">
                            <w:pPr>
                              <w:jc w:val="center"/>
                            </w:pPr>
                            <w:r>
                              <w:t>T</w:t>
                            </w:r>
                            <w:r w:rsidR="001816F5">
                              <w:t xml:space="preserve">                                                                                       </w:t>
                            </w:r>
                          </w:p>
                          <w:p w14:paraId="22AAF27B" w14:textId="7FC3A576" w:rsidR="001816F5" w:rsidRDefault="001816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AF7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.75pt;margin-top:24.9pt;width:552.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">
                <v:textbox>
                  <w:txbxContent>
                    <w:p w14:paraId="2F633277" w14:textId="26B21823" w:rsidR="00B41D9D" w:rsidRDefault="001816F5" w:rsidP="001816F5">
                      <w:pPr>
                        <w:jc w:val="center"/>
                      </w:pPr>
                      <w:r>
                        <w:t xml:space="preserve">There are Registered Nurses and Pharmacist available 24/7/365. </w:t>
                      </w:r>
                      <w:r w:rsidR="00B41D9D">
                        <w:t>Toxicology consultation available</w:t>
                      </w:r>
                    </w:p>
                    <w:p w14:paraId="74F1D3B3" w14:textId="0F14E35D" w:rsidR="00B41D9D" w:rsidRDefault="00B41D9D" w:rsidP="001816F5">
                      <w:pPr>
                        <w:jc w:val="center"/>
                      </w:pPr>
                      <w:r>
                        <w:t xml:space="preserve">                                                    </w:t>
                      </w:r>
                    </w:p>
                    <w:p w14:paraId="070D9A42" w14:textId="7C5377FA" w:rsidR="001816F5" w:rsidRDefault="00B41D9D" w:rsidP="001816F5">
                      <w:pPr>
                        <w:jc w:val="center"/>
                      </w:pPr>
                      <w:r>
                        <w:t>T</w:t>
                      </w:r>
                      <w:r w:rsidR="001816F5">
                        <w:t xml:space="preserve">                                                                                       </w:t>
                      </w:r>
                    </w:p>
                    <w:p w14:paraId="22AAF27B" w14:textId="7FC3A576" w:rsidR="001816F5" w:rsidRDefault="001816F5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9037B" w:rsidRPr="00ED7F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E8197" w14:textId="77777777" w:rsidR="006F301C" w:rsidRDefault="006F301C" w:rsidP="009D6030">
      <w:pPr>
        <w:spacing w:after="0" w:line="240" w:lineRule="auto"/>
      </w:pPr>
      <w:r>
        <w:separator/>
      </w:r>
    </w:p>
  </w:endnote>
  <w:endnote w:type="continuationSeparator" w:id="0">
    <w:p w14:paraId="29DDC32F" w14:textId="77777777" w:rsidR="006F301C" w:rsidRDefault="006F301C" w:rsidP="009D6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A485" w14:textId="2DFF3CAC" w:rsidR="0089037B" w:rsidRDefault="0089037B" w:rsidP="00F0028D">
    <w:pPr>
      <w:pStyle w:val="Footer"/>
      <w:jc w:val="center"/>
    </w:pPr>
    <w:r>
      <w:t>Sponsored by Nebraska Medicine</w:t>
    </w:r>
    <w:r w:rsidR="00F0028D">
      <w:t xml:space="preserve"> and the University of Nebraska Medical Center</w:t>
    </w:r>
  </w:p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5"/>
      <w:gridCol w:w="3365"/>
      <w:gridCol w:w="3365"/>
    </w:tblGrid>
    <w:tr w:rsidR="0089037B" w14:paraId="050AEF5B" w14:textId="77777777" w:rsidTr="008437C8">
      <w:trPr>
        <w:trHeight w:val="300"/>
      </w:trPr>
      <w:tc>
        <w:tcPr>
          <w:tcW w:w="3365" w:type="dxa"/>
        </w:tcPr>
        <w:p w14:paraId="71837661" w14:textId="77777777" w:rsidR="0089037B" w:rsidRDefault="0089037B" w:rsidP="00F0028D">
          <w:pPr>
            <w:pStyle w:val="Header"/>
            <w:ind w:left="-115"/>
            <w:jc w:val="center"/>
          </w:pPr>
        </w:p>
      </w:tc>
      <w:tc>
        <w:tcPr>
          <w:tcW w:w="3365" w:type="dxa"/>
        </w:tcPr>
        <w:p w14:paraId="5B614EF0" w14:textId="77777777" w:rsidR="0089037B" w:rsidRDefault="0089037B" w:rsidP="00F0028D">
          <w:pPr>
            <w:pStyle w:val="Header"/>
            <w:jc w:val="center"/>
          </w:pPr>
        </w:p>
      </w:tc>
      <w:tc>
        <w:tcPr>
          <w:tcW w:w="3365" w:type="dxa"/>
        </w:tcPr>
        <w:p w14:paraId="3F1E3603" w14:textId="77777777" w:rsidR="0089037B" w:rsidRDefault="0089037B" w:rsidP="00F0028D">
          <w:pPr>
            <w:pStyle w:val="Header"/>
            <w:ind w:right="-115"/>
            <w:jc w:val="center"/>
          </w:pPr>
        </w:p>
      </w:tc>
    </w:tr>
  </w:tbl>
  <w:p w14:paraId="6EBAF65F" w14:textId="43942546" w:rsidR="0089037B" w:rsidRDefault="0089037B">
    <w:pPr>
      <w:pStyle w:val="Footer"/>
    </w:pPr>
  </w:p>
  <w:p w14:paraId="138F5A89" w14:textId="77777777" w:rsidR="0089037B" w:rsidRDefault="00890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6616D" w14:textId="77777777" w:rsidR="006F301C" w:rsidRDefault="006F301C" w:rsidP="009D6030">
      <w:pPr>
        <w:spacing w:after="0" w:line="240" w:lineRule="auto"/>
      </w:pPr>
      <w:r>
        <w:separator/>
      </w:r>
    </w:p>
  </w:footnote>
  <w:footnote w:type="continuationSeparator" w:id="0">
    <w:p w14:paraId="5A4D7E5C" w14:textId="77777777" w:rsidR="006F301C" w:rsidRDefault="006F301C" w:rsidP="009D6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E25C" w14:textId="5C986CD1" w:rsidR="0089037B" w:rsidRDefault="0089037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A8BC7B" wp14:editId="214FBF05">
          <wp:simplePos x="0" y="0"/>
          <wp:positionH relativeFrom="column">
            <wp:posOffset>657225</wp:posOffset>
          </wp:positionH>
          <wp:positionV relativeFrom="paragraph">
            <wp:posOffset>-457200</wp:posOffset>
          </wp:positionV>
          <wp:extent cx="4276725" cy="862330"/>
          <wp:effectExtent l="0" t="0" r="9525" b="0"/>
          <wp:wrapNone/>
          <wp:docPr id="1743563864" name="Picture 1" descr="A logo with a skull and crossbo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563864" name="Picture 1" descr="A logo with a skull and crossbon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7023" cy="862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0A9C01" w14:textId="1854BC19" w:rsidR="009D6030" w:rsidRDefault="009D60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B3993"/>
    <w:multiLevelType w:val="hybridMultilevel"/>
    <w:tmpl w:val="279A9AB4"/>
    <w:lvl w:ilvl="0" w:tplc="DAD6C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4E3584"/>
    <w:multiLevelType w:val="hybridMultilevel"/>
    <w:tmpl w:val="ABCC3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45838">
    <w:abstractNumId w:val="1"/>
  </w:num>
  <w:num w:numId="2" w16cid:durableId="134686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4C"/>
    <w:rsid w:val="00007943"/>
    <w:rsid w:val="00023FE3"/>
    <w:rsid w:val="00055366"/>
    <w:rsid w:val="0008723E"/>
    <w:rsid w:val="000A35E8"/>
    <w:rsid w:val="000D230A"/>
    <w:rsid w:val="00131943"/>
    <w:rsid w:val="00157BD6"/>
    <w:rsid w:val="001816F5"/>
    <w:rsid w:val="0019503E"/>
    <w:rsid w:val="001A6E84"/>
    <w:rsid w:val="001D4D0F"/>
    <w:rsid w:val="001D6455"/>
    <w:rsid w:val="001F37F1"/>
    <w:rsid w:val="0020444C"/>
    <w:rsid w:val="00215860"/>
    <w:rsid w:val="00336FCD"/>
    <w:rsid w:val="00341304"/>
    <w:rsid w:val="003621F8"/>
    <w:rsid w:val="003C59EC"/>
    <w:rsid w:val="003F08EA"/>
    <w:rsid w:val="00424FF5"/>
    <w:rsid w:val="00431EAC"/>
    <w:rsid w:val="00455072"/>
    <w:rsid w:val="004D4F61"/>
    <w:rsid w:val="004F630B"/>
    <w:rsid w:val="0050296A"/>
    <w:rsid w:val="00551361"/>
    <w:rsid w:val="0055743A"/>
    <w:rsid w:val="005C1321"/>
    <w:rsid w:val="005D378F"/>
    <w:rsid w:val="005F01A9"/>
    <w:rsid w:val="0064286F"/>
    <w:rsid w:val="00647D3E"/>
    <w:rsid w:val="00695FB6"/>
    <w:rsid w:val="006B1761"/>
    <w:rsid w:val="006F301C"/>
    <w:rsid w:val="007274F5"/>
    <w:rsid w:val="007429F0"/>
    <w:rsid w:val="00767150"/>
    <w:rsid w:val="007677E6"/>
    <w:rsid w:val="00770937"/>
    <w:rsid w:val="00770D97"/>
    <w:rsid w:val="007C5CF5"/>
    <w:rsid w:val="00812657"/>
    <w:rsid w:val="008343FD"/>
    <w:rsid w:val="00857C18"/>
    <w:rsid w:val="00863BF2"/>
    <w:rsid w:val="0089037B"/>
    <w:rsid w:val="00906204"/>
    <w:rsid w:val="009446FE"/>
    <w:rsid w:val="009A504E"/>
    <w:rsid w:val="009B23F9"/>
    <w:rsid w:val="009D6030"/>
    <w:rsid w:val="009E6B8E"/>
    <w:rsid w:val="009F4C2B"/>
    <w:rsid w:val="00A03506"/>
    <w:rsid w:val="00A13395"/>
    <w:rsid w:val="00A244D5"/>
    <w:rsid w:val="00A910E5"/>
    <w:rsid w:val="00AC166D"/>
    <w:rsid w:val="00AC618A"/>
    <w:rsid w:val="00B41D9D"/>
    <w:rsid w:val="00B44D18"/>
    <w:rsid w:val="00B5739D"/>
    <w:rsid w:val="00B7512F"/>
    <w:rsid w:val="00C1469A"/>
    <w:rsid w:val="00C4320E"/>
    <w:rsid w:val="00C5533A"/>
    <w:rsid w:val="00C814EF"/>
    <w:rsid w:val="00C97DA0"/>
    <w:rsid w:val="00CC1389"/>
    <w:rsid w:val="00CE30FD"/>
    <w:rsid w:val="00CF3BBE"/>
    <w:rsid w:val="00CF5729"/>
    <w:rsid w:val="00D30F2E"/>
    <w:rsid w:val="00D371DC"/>
    <w:rsid w:val="00D83F4C"/>
    <w:rsid w:val="00DC7459"/>
    <w:rsid w:val="00DF121C"/>
    <w:rsid w:val="00DF39AC"/>
    <w:rsid w:val="00E3244B"/>
    <w:rsid w:val="00E430F7"/>
    <w:rsid w:val="00E470EC"/>
    <w:rsid w:val="00E54152"/>
    <w:rsid w:val="00E73166"/>
    <w:rsid w:val="00EB1813"/>
    <w:rsid w:val="00ED7F01"/>
    <w:rsid w:val="00EE0150"/>
    <w:rsid w:val="00F0028D"/>
    <w:rsid w:val="00F06D65"/>
    <w:rsid w:val="00F328F9"/>
    <w:rsid w:val="00F64DCF"/>
    <w:rsid w:val="00F94264"/>
    <w:rsid w:val="00FA1B57"/>
    <w:rsid w:val="00FA22BB"/>
    <w:rsid w:val="00FB5CB3"/>
    <w:rsid w:val="00FC25AE"/>
    <w:rsid w:val="00FC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04CD2"/>
  <w15:chartTrackingRefBased/>
  <w15:docId w15:val="{31DEC09A-AA66-459C-95F3-84D0AE83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4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6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030"/>
  </w:style>
  <w:style w:type="paragraph" w:styleId="Footer">
    <w:name w:val="footer"/>
    <w:basedOn w:val="Normal"/>
    <w:link w:val="FooterChar"/>
    <w:uiPriority w:val="99"/>
    <w:unhideWhenUsed/>
    <w:rsid w:val="009D6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030"/>
  </w:style>
  <w:style w:type="character" w:customStyle="1" w:styleId="wacimagecontainer">
    <w:name w:val="wacimagecontainer"/>
    <w:basedOn w:val="DefaultParagraphFont"/>
    <w:rsid w:val="0089037B"/>
  </w:style>
  <w:style w:type="character" w:styleId="Hyperlink">
    <w:name w:val="Hyperlink"/>
    <w:basedOn w:val="DefaultParagraphFont"/>
    <w:uiPriority w:val="99"/>
    <w:semiHidden/>
    <w:unhideWhenUsed/>
    <w:rsid w:val="002158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Kirschner, Ronald I</dc:creator>
  <cp:keywords/>
  <dc:description/>
  <cp:lastModifiedBy>Hammack, Jean M</cp:lastModifiedBy>
  <cp:revision>4</cp:revision>
  <dcterms:created xsi:type="dcterms:W3CDTF">2026-05-15T14:04:00Z</dcterms:created>
  <dcterms:modified xsi:type="dcterms:W3CDTF">2026-05-15T14:08:00Z</dcterms:modified>
</cp:coreProperties>
</file>